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B9" w:rsidRPr="00937AB9" w:rsidRDefault="00937AB9" w:rsidP="00937AB9">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937AB9">
        <w:rPr>
          <w:rFonts w:ascii="ˎ̥" w:eastAsia="宋体" w:hAnsi="ˎ̥" w:cs="Arial"/>
          <w:b/>
          <w:bCs/>
          <w:color w:val="333333"/>
          <w:kern w:val="0"/>
          <w:szCs w:val="21"/>
        </w:rPr>
        <w:t>教育部财政部中国人民银行银监会关于完善国家助学贷款政策的若干意见</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各省、自治区、直辖市教育厅（教委）、财政厅（局），计划单列市教育局、财政局，新疆生产建设兵团教育局、财务局，中国人民银行上海总部，各分行、营业管理部，各省会（首府）城市中心支行，各副省级城市中心支行，银监局，有关部门（单位）教育司（局），中央部门所属各高等学校，各银行业金融机构：</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目前，我国普通高等学校家庭经济困难学生资助政策体系已基本建立。作为高校学生资助体系的重要组成部分，国家助学贷款经过多年探索和完善，逐步形成了符合中国国情和高校特点的发展模式，取得了显著成效，对确保高校家庭经济困难学生顺利完成学业发挥了重要作用。为进一步提升国家助学贷款政策实施效果，经国务院同意，现就完善国家助学贷款政策提出如下意见：</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b/>
          <w:bCs/>
          <w:color w:val="333333"/>
          <w:kern w:val="0"/>
          <w:szCs w:val="21"/>
        </w:rPr>
        <w:t xml:space="preserve">　　一、完善贷款政策，切实减轻借款学生经济负担</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一）学生在读期间利息全部由财政补贴。国家助学贷款利率执行中国人民银行同期公布的同档次基准利率，不上浮。借款学生在读期间的贷款利息由财政全额补贴。借款学生毕业后，在还款期内继续攻读学位的，可申请继续贴息，应及时向经办机构（组织办理校园地国家助学贷款的高校或组织办理生源地信用助学贷款的县级教育部门，以下简称经办机构）提供书面证明，经办机构审核后，报经办银行确认，继续攻读学位期间发生的贷款利息，由原贴息财政部门继续全额贴息。借款学生在校期间因患病等原因休学的，应向经办机构提供书面证明，由经办机构向经办银行提出申请，休学期间的贷款利息由财政全额贴息。</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（二）贷款最长期限从</w:t>
      </w:r>
      <w:r w:rsidRPr="00937AB9">
        <w:rPr>
          <w:rFonts w:ascii="ˎ̥" w:eastAsia="宋体" w:hAnsi="ˎ̥" w:cs="Arial"/>
          <w:color w:val="333333"/>
          <w:kern w:val="0"/>
          <w:szCs w:val="21"/>
        </w:rPr>
        <w:t>14</w:t>
      </w:r>
      <w:r w:rsidRPr="00937AB9">
        <w:rPr>
          <w:rFonts w:ascii="ˎ̥" w:eastAsia="宋体" w:hAnsi="ˎ̥" w:cs="Arial"/>
          <w:color w:val="333333"/>
          <w:kern w:val="0"/>
          <w:szCs w:val="21"/>
        </w:rPr>
        <w:t>年延长至</w:t>
      </w:r>
      <w:r w:rsidRPr="00937AB9">
        <w:rPr>
          <w:rFonts w:ascii="ˎ̥" w:eastAsia="宋体" w:hAnsi="ˎ̥" w:cs="Arial"/>
          <w:color w:val="333333"/>
          <w:kern w:val="0"/>
          <w:szCs w:val="21"/>
        </w:rPr>
        <w:t>20</w:t>
      </w:r>
      <w:r w:rsidRPr="00937AB9">
        <w:rPr>
          <w:rFonts w:ascii="ˎ̥" w:eastAsia="宋体" w:hAnsi="ˎ̥" w:cs="Arial"/>
          <w:color w:val="333333"/>
          <w:kern w:val="0"/>
          <w:szCs w:val="21"/>
        </w:rPr>
        <w:t>年。原校园地国家助学贷款期限为学制加</w:t>
      </w:r>
      <w:r w:rsidRPr="00937AB9">
        <w:rPr>
          <w:rFonts w:ascii="ˎ̥" w:eastAsia="宋体" w:hAnsi="ˎ̥" w:cs="Arial"/>
          <w:color w:val="333333"/>
          <w:kern w:val="0"/>
          <w:szCs w:val="21"/>
        </w:rPr>
        <w:t>6</w:t>
      </w:r>
      <w:r w:rsidRPr="00937AB9">
        <w:rPr>
          <w:rFonts w:ascii="ˎ̥" w:eastAsia="宋体" w:hAnsi="ˎ̥" w:cs="Arial"/>
          <w:color w:val="333333"/>
          <w:kern w:val="0"/>
          <w:szCs w:val="21"/>
        </w:rPr>
        <w:t>年、最长不超过</w:t>
      </w:r>
      <w:r w:rsidRPr="00937AB9">
        <w:rPr>
          <w:rFonts w:ascii="ˎ̥" w:eastAsia="宋体" w:hAnsi="ˎ̥" w:cs="Arial"/>
          <w:color w:val="333333"/>
          <w:kern w:val="0"/>
          <w:szCs w:val="21"/>
        </w:rPr>
        <w:t>10</w:t>
      </w:r>
      <w:r w:rsidRPr="00937AB9">
        <w:rPr>
          <w:rFonts w:ascii="ˎ̥" w:eastAsia="宋体" w:hAnsi="ˎ̥" w:cs="Arial"/>
          <w:color w:val="333333"/>
          <w:kern w:val="0"/>
          <w:szCs w:val="21"/>
        </w:rPr>
        <w:t>年，生源地信用助学贷款期限为学制加</w:t>
      </w:r>
      <w:r w:rsidRPr="00937AB9">
        <w:rPr>
          <w:rFonts w:ascii="ˎ̥" w:eastAsia="宋体" w:hAnsi="ˎ̥" w:cs="Arial"/>
          <w:color w:val="333333"/>
          <w:kern w:val="0"/>
          <w:szCs w:val="21"/>
        </w:rPr>
        <w:t>10</w:t>
      </w:r>
      <w:r w:rsidRPr="00937AB9">
        <w:rPr>
          <w:rFonts w:ascii="ˎ̥" w:eastAsia="宋体" w:hAnsi="ˎ̥" w:cs="Arial"/>
          <w:color w:val="333333"/>
          <w:kern w:val="0"/>
          <w:szCs w:val="21"/>
        </w:rPr>
        <w:t>年、最长不超过</w:t>
      </w:r>
      <w:r w:rsidRPr="00937AB9">
        <w:rPr>
          <w:rFonts w:ascii="ˎ̥" w:eastAsia="宋体" w:hAnsi="ˎ̥" w:cs="Arial"/>
          <w:color w:val="333333"/>
          <w:kern w:val="0"/>
          <w:szCs w:val="21"/>
        </w:rPr>
        <w:t>14</w:t>
      </w:r>
      <w:r w:rsidRPr="00937AB9">
        <w:rPr>
          <w:rFonts w:ascii="ˎ̥" w:eastAsia="宋体" w:hAnsi="ˎ̥" w:cs="Arial"/>
          <w:color w:val="333333"/>
          <w:kern w:val="0"/>
          <w:szCs w:val="21"/>
        </w:rPr>
        <w:t>年，现统一调整为学制加</w:t>
      </w:r>
      <w:r w:rsidRPr="00937AB9">
        <w:rPr>
          <w:rFonts w:ascii="ˎ̥" w:eastAsia="宋体" w:hAnsi="ˎ̥" w:cs="Arial"/>
          <w:color w:val="333333"/>
          <w:kern w:val="0"/>
          <w:szCs w:val="21"/>
        </w:rPr>
        <w:t>13</w:t>
      </w:r>
      <w:r w:rsidRPr="00937AB9">
        <w:rPr>
          <w:rFonts w:ascii="ˎ̥" w:eastAsia="宋体" w:hAnsi="ˎ̥" w:cs="Arial"/>
          <w:color w:val="333333"/>
          <w:kern w:val="0"/>
          <w:szCs w:val="21"/>
        </w:rPr>
        <w:t>年、最长不超过</w:t>
      </w:r>
      <w:r w:rsidRPr="00937AB9">
        <w:rPr>
          <w:rFonts w:ascii="ˎ̥" w:eastAsia="宋体" w:hAnsi="ˎ̥" w:cs="Arial"/>
          <w:color w:val="333333"/>
          <w:kern w:val="0"/>
          <w:szCs w:val="21"/>
        </w:rPr>
        <w:t>20</w:t>
      </w:r>
      <w:r w:rsidRPr="00937AB9">
        <w:rPr>
          <w:rFonts w:ascii="ˎ̥" w:eastAsia="宋体" w:hAnsi="ˎ̥" w:cs="Arial"/>
          <w:color w:val="333333"/>
          <w:kern w:val="0"/>
          <w:szCs w:val="21"/>
        </w:rPr>
        <w:t>年。借款学生毕业或终止学业时，应与经办银行和经办机构确认还款计划，还款期限按双方签署的合同执行。</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（三）还本宽限期从</w:t>
      </w:r>
      <w:r w:rsidRPr="00937AB9">
        <w:rPr>
          <w:rFonts w:ascii="ˎ̥" w:eastAsia="宋体" w:hAnsi="ˎ̥" w:cs="Arial"/>
          <w:color w:val="333333"/>
          <w:kern w:val="0"/>
          <w:szCs w:val="21"/>
        </w:rPr>
        <w:t>2</w:t>
      </w:r>
      <w:r w:rsidRPr="00937AB9">
        <w:rPr>
          <w:rFonts w:ascii="ˎ̥" w:eastAsia="宋体" w:hAnsi="ˎ̥" w:cs="Arial"/>
          <w:color w:val="333333"/>
          <w:kern w:val="0"/>
          <w:szCs w:val="21"/>
        </w:rPr>
        <w:t>年延长至</w:t>
      </w:r>
      <w:r w:rsidRPr="00937AB9">
        <w:rPr>
          <w:rFonts w:ascii="ˎ̥" w:eastAsia="宋体" w:hAnsi="ˎ̥" w:cs="Arial"/>
          <w:color w:val="333333"/>
          <w:kern w:val="0"/>
          <w:szCs w:val="21"/>
        </w:rPr>
        <w:t>3</w:t>
      </w:r>
      <w:r w:rsidRPr="00937AB9">
        <w:rPr>
          <w:rFonts w:ascii="ˎ̥" w:eastAsia="宋体" w:hAnsi="ˎ̥" w:cs="Arial"/>
          <w:color w:val="333333"/>
          <w:kern w:val="0"/>
          <w:szCs w:val="21"/>
        </w:rPr>
        <w:t>年整。借款学生毕业当年不再继续攻读学位的，与经办机构和经办银行确认还款计划时，可选择使用还本宽限期。还本宽限期内借款学生只需偿还利息，无需偿还贷款本金。还本宽限期由原来的</w:t>
      </w:r>
      <w:r w:rsidRPr="00937AB9">
        <w:rPr>
          <w:rFonts w:ascii="ˎ̥" w:eastAsia="宋体" w:hAnsi="ˎ̥" w:cs="Arial"/>
          <w:color w:val="333333"/>
          <w:kern w:val="0"/>
          <w:szCs w:val="21"/>
        </w:rPr>
        <w:t>2</w:t>
      </w:r>
      <w:r w:rsidRPr="00937AB9">
        <w:rPr>
          <w:rFonts w:ascii="ˎ̥" w:eastAsia="宋体" w:hAnsi="ˎ̥" w:cs="Arial"/>
          <w:color w:val="333333"/>
          <w:kern w:val="0"/>
          <w:szCs w:val="21"/>
        </w:rPr>
        <w:t>年延长至</w:t>
      </w:r>
      <w:r w:rsidRPr="00937AB9">
        <w:rPr>
          <w:rFonts w:ascii="ˎ̥" w:eastAsia="宋体" w:hAnsi="ˎ̥" w:cs="Arial"/>
          <w:color w:val="333333"/>
          <w:kern w:val="0"/>
          <w:szCs w:val="21"/>
        </w:rPr>
        <w:t>3</w:t>
      </w:r>
      <w:r w:rsidRPr="00937AB9">
        <w:rPr>
          <w:rFonts w:ascii="ˎ̥" w:eastAsia="宋体" w:hAnsi="ˎ̥" w:cs="Arial"/>
          <w:color w:val="333333"/>
          <w:kern w:val="0"/>
          <w:szCs w:val="21"/>
        </w:rPr>
        <w:t>年整。还本宽限期从还款计划确认开始，计算至借款学生毕业后第</w:t>
      </w:r>
      <w:r w:rsidRPr="00937AB9">
        <w:rPr>
          <w:rFonts w:ascii="ˎ̥" w:eastAsia="宋体" w:hAnsi="ˎ̥" w:cs="Arial"/>
          <w:color w:val="333333"/>
          <w:kern w:val="0"/>
          <w:szCs w:val="21"/>
        </w:rPr>
        <w:t>36</w:t>
      </w:r>
      <w:r w:rsidRPr="00937AB9">
        <w:rPr>
          <w:rFonts w:ascii="ˎ̥" w:eastAsia="宋体" w:hAnsi="ˎ̥" w:cs="Arial"/>
          <w:color w:val="333333"/>
          <w:kern w:val="0"/>
          <w:szCs w:val="21"/>
        </w:rPr>
        <w:t>个月底。在还款期内继续攻读学位的借款学生再读学位毕业后，仍可享受</w:t>
      </w:r>
      <w:r w:rsidRPr="00937AB9">
        <w:rPr>
          <w:rFonts w:ascii="ˎ̥" w:eastAsia="宋体" w:hAnsi="ˎ̥" w:cs="Arial"/>
          <w:color w:val="333333"/>
          <w:kern w:val="0"/>
          <w:szCs w:val="21"/>
        </w:rPr>
        <w:t>36</w:t>
      </w:r>
      <w:r w:rsidRPr="00937AB9">
        <w:rPr>
          <w:rFonts w:ascii="ˎ̥" w:eastAsia="宋体" w:hAnsi="ˎ̥" w:cs="Arial"/>
          <w:color w:val="333333"/>
          <w:kern w:val="0"/>
          <w:szCs w:val="21"/>
        </w:rPr>
        <w:t>个月的还本宽限期。</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四）建立国家助学贷款还款救助机制。各省级学生资助管理部门、各高校要合理利用国家助学贷款风险补偿金结余奖励资金、社会捐资助学资金或学生奖助基金，建立国家助学贷款还款救助机制，用于救助特别困难的毕业借款学生。对于因病丧失劳动能力、家庭遭遇重大自然灾害、家庭成员患有重大疾病以及经济收入特别低的毕业借款学生，如确实无法按期偿还贷款，可向经办机构提出救助申请并提供相关书面证明，经办机构核实后，可启动救助机制为其代偿应还本息。</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五）简化学生贷款手续。各经办机构和经办银行要简化贷款手续，不得要求学生提供与贷款申请无关的材料。学生开具家庭经济困难学生认定证明时，严禁收取任何费用。各经办机构和经办银行应改进服务，简化流程，借款学生继续攻读学位的，只需完成申请继续贴息的相关手续，可不再签署贷款展期协议。借款学生根据贷款合同提前还款的，经办银行按贷款实际期限计算利息，不得加收任何费用。</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b/>
          <w:bCs/>
          <w:color w:val="333333"/>
          <w:kern w:val="0"/>
          <w:szCs w:val="21"/>
        </w:rPr>
        <w:t xml:space="preserve">　　二、健全运行机制，促进国家助学贷款持续健康发展</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lastRenderedPageBreak/>
        <w:t xml:space="preserve">　　（一）及时足额安排贴息及风险补偿金。各级财政部门和高校要在年度预算中足额安排应承担的国家助学贷款贴息和风险补偿金。省级财政部门负责统筹归集全省各级财政和地方高校应承担的贴息和风险补偿金，确保资金按时足额到位。</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（二）完善国家助学贷款考核制度。各级金融监管部门对国家助学贷款业务监管时，综合考虑风险补偿金的缓释作用，对符合相关政策要求的风险补偿金覆盖部分适用零风险权重，未覆盖部分采用</w:t>
      </w:r>
      <w:r w:rsidRPr="00937AB9">
        <w:rPr>
          <w:rFonts w:ascii="ˎ̥" w:eastAsia="宋体" w:hAnsi="ˎ̥" w:cs="Arial"/>
          <w:color w:val="333333"/>
          <w:kern w:val="0"/>
          <w:szCs w:val="21"/>
        </w:rPr>
        <w:t>75%</w:t>
      </w:r>
      <w:r w:rsidRPr="00937AB9">
        <w:rPr>
          <w:rFonts w:ascii="ˎ̥" w:eastAsia="宋体" w:hAnsi="ˎ̥" w:cs="Arial"/>
          <w:color w:val="333333"/>
          <w:kern w:val="0"/>
          <w:szCs w:val="21"/>
        </w:rPr>
        <w:t>的风险权重。各金融机构在对国家助学贷款业务进行内部监管时，应在满足监管要求的同时，充分考虑国家助学贷款业务和风险特征，准确计量资本和拨备要求。各经办银行对国家助学贷款业务要单立台账、单设科目、单独统计和考核。</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三）积极开展诚信教育活动和征信宣传。各高校应加强学生信用意识和诚信观念教育。各级教育行政部门应加强学校诚信教育工作的定期考核和业务指导。各经办银行应按照《征信业管理条例》，严格履行信息采集和上报责任。经办银行经借款学生书面授权使用借款学生的个人征信信息，无需再次告知借款学生；对没有按合同约定归还贷款的学生，经办银行应依法向个人征信系统报送借款学生的不良信息。</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b/>
          <w:bCs/>
          <w:color w:val="333333"/>
          <w:kern w:val="0"/>
          <w:szCs w:val="21"/>
        </w:rPr>
        <w:t xml:space="preserve">　　三、加强组织领导，不断提升国家助学贷款管理水平</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（一）进一步落实学费和贷款代偿政策。根据《财政部</w:t>
      </w:r>
      <w:r w:rsidRPr="00937AB9">
        <w:rPr>
          <w:rFonts w:ascii="ˎ̥" w:eastAsia="宋体" w:hAnsi="ˎ̥" w:cs="Arial"/>
          <w:color w:val="333333"/>
          <w:kern w:val="0"/>
          <w:szCs w:val="21"/>
        </w:rPr>
        <w:t xml:space="preserve"> </w:t>
      </w:r>
      <w:r w:rsidRPr="00937AB9">
        <w:rPr>
          <w:rFonts w:ascii="ˎ̥" w:eastAsia="宋体" w:hAnsi="ˎ̥" w:cs="Arial"/>
          <w:color w:val="333333"/>
          <w:kern w:val="0"/>
          <w:szCs w:val="21"/>
        </w:rPr>
        <w:t>教育部关于印发</w:t>
      </w:r>
      <w:r w:rsidRPr="00937AB9">
        <w:rPr>
          <w:rFonts w:ascii="ˎ̥" w:eastAsia="宋体" w:hAnsi="ˎ̥" w:cs="Arial"/>
          <w:color w:val="333333"/>
          <w:kern w:val="0"/>
          <w:szCs w:val="21"/>
        </w:rPr>
        <w:t>&lt;</w:t>
      </w:r>
      <w:r w:rsidRPr="00937AB9">
        <w:rPr>
          <w:rFonts w:ascii="ˎ̥" w:eastAsia="宋体" w:hAnsi="ˎ̥" w:cs="Arial"/>
          <w:color w:val="333333"/>
          <w:kern w:val="0"/>
          <w:szCs w:val="21"/>
        </w:rPr>
        <w:t>高等学校毕业生学费和国家助学贷款代偿暂行办法</w:t>
      </w:r>
      <w:r w:rsidRPr="00937AB9">
        <w:rPr>
          <w:rFonts w:ascii="ˎ̥" w:eastAsia="宋体" w:hAnsi="ˎ̥" w:cs="Arial"/>
          <w:color w:val="333333"/>
          <w:kern w:val="0"/>
          <w:szCs w:val="21"/>
        </w:rPr>
        <w:t>&gt;</w:t>
      </w:r>
      <w:r w:rsidRPr="00937AB9">
        <w:rPr>
          <w:rFonts w:ascii="ˎ̥" w:eastAsia="宋体" w:hAnsi="ˎ̥" w:cs="Arial"/>
          <w:color w:val="333333"/>
          <w:kern w:val="0"/>
          <w:szCs w:val="21"/>
        </w:rPr>
        <w:t>的通知》（财教〔</w:t>
      </w:r>
      <w:r w:rsidRPr="00937AB9">
        <w:rPr>
          <w:rFonts w:ascii="ˎ̥" w:eastAsia="宋体" w:hAnsi="ˎ̥" w:cs="Arial"/>
          <w:color w:val="333333"/>
          <w:kern w:val="0"/>
          <w:szCs w:val="21"/>
        </w:rPr>
        <w:t>2009</w:t>
      </w:r>
      <w:r w:rsidRPr="00937AB9">
        <w:rPr>
          <w:rFonts w:ascii="ˎ̥" w:eastAsia="宋体" w:hAnsi="ˎ̥" w:cs="Arial"/>
          <w:color w:val="333333"/>
          <w:kern w:val="0"/>
          <w:szCs w:val="21"/>
        </w:rPr>
        <w:t>〕</w:t>
      </w:r>
      <w:r w:rsidRPr="00937AB9">
        <w:rPr>
          <w:rFonts w:ascii="ˎ̥" w:eastAsia="宋体" w:hAnsi="ˎ̥" w:cs="Arial"/>
          <w:color w:val="333333"/>
          <w:kern w:val="0"/>
          <w:szCs w:val="21"/>
        </w:rPr>
        <w:t>15</w:t>
      </w:r>
      <w:r w:rsidRPr="00937AB9">
        <w:rPr>
          <w:rFonts w:ascii="ˎ̥" w:eastAsia="宋体" w:hAnsi="ˎ̥" w:cs="Arial"/>
          <w:color w:val="333333"/>
          <w:kern w:val="0"/>
          <w:szCs w:val="21"/>
        </w:rPr>
        <w:t>号）规定，尚未出台政策的省份应尽快出台学费和助学贷款代偿办法，鼓励地方高校毕业生到本行政区域艰苦边远地区基层单位就业。地方高校毕业生代偿资金原则上由省级财政承担，中央财政根据西部各省份财力状况、学费和国家助学贷款代偿规模以及高校家庭经济困难学生资助政策落实情况等因素，对西部省份予以奖补。</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二）加强经办机构和人员队伍建设。各县级政府要尽快成立专门的县级学生资助管理中心并确保正常运转，加强人员队伍建设并保障工资福利、职称评聘等方面待遇。地方各级教育行政部门要推动经办机构之间的联动机制，建立资助中心、高校和金融机构之间的合作平台，实现信息共享，促进协同配合，切实加强贷款管理工作。</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三）加大国家资助政策宣传力度。地方各级教育行政部门应在《普通高等学校招生专业目录》中全面、完整介绍高校学生资助政策，方便学生知晓国家资助政策，合理选择学校和专业。普通高中要大力开展高校资助政策宣传工作，介绍国家助学贷款、奖助学金等资助政策，免除家庭经济困难学生的后顾之忧。在发挥传统媒体作用的同时，充分运用网络时代新媒体传播渠道，创新宣传方式，增强宣传效果。对于艰苦边远山区和农村家庭经济困难学生集中的区域，有关地区教育行政部门应组织专门人员，深入基层和农村经济困难家庭宣讲资助政策。</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b/>
          <w:bCs/>
          <w:color w:val="333333"/>
          <w:kern w:val="0"/>
          <w:szCs w:val="21"/>
        </w:rPr>
        <w:t xml:space="preserve">　　四、其他事项</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（一）本意见自发布之日起实施。各省、自治区、直辖市人民政府可结合本地实际情况，制订具体实施细则。</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（二）本意见所指的借款学生是指全日制普通高等学校中家庭经济困难且已获得国家助学贷款资助的本专科学生（含高职学生）、研究生、第二学士学位学生。</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t xml:space="preserve">　　（三）此前下发的国家助学贷款的有关政策和规定继续执行。凡与本意见不一致的，以本意见为准。</w:t>
      </w:r>
    </w:p>
    <w:p w:rsidR="00937AB9" w:rsidRPr="00937AB9" w:rsidRDefault="00937AB9" w:rsidP="00937AB9">
      <w:pPr>
        <w:widowControl/>
        <w:shd w:val="clear" w:color="auto" w:fill="F5FBFF"/>
        <w:spacing w:line="345" w:lineRule="atLeast"/>
        <w:jc w:val="right"/>
        <w:rPr>
          <w:rFonts w:ascii="ˎ̥" w:eastAsia="宋体" w:hAnsi="ˎ̥" w:cs="Arial"/>
          <w:color w:val="333333"/>
          <w:kern w:val="0"/>
          <w:szCs w:val="21"/>
        </w:rPr>
      </w:pPr>
      <w:r w:rsidRPr="00937AB9">
        <w:rPr>
          <w:rFonts w:ascii="ˎ̥" w:eastAsia="宋体" w:hAnsi="ˎ̥" w:cs="Arial"/>
          <w:color w:val="333333"/>
          <w:kern w:val="0"/>
          <w:szCs w:val="21"/>
        </w:rPr>
        <w:t xml:space="preserve">　　教育部</w:t>
      </w:r>
      <w:r w:rsidRPr="00937AB9">
        <w:rPr>
          <w:rFonts w:ascii="ˎ̥" w:eastAsia="宋体" w:hAnsi="ˎ̥" w:cs="Arial"/>
          <w:color w:val="333333"/>
          <w:kern w:val="0"/>
          <w:szCs w:val="21"/>
        </w:rPr>
        <w:t xml:space="preserve"> </w:t>
      </w:r>
      <w:r w:rsidRPr="00937AB9">
        <w:rPr>
          <w:rFonts w:ascii="ˎ̥" w:eastAsia="宋体" w:hAnsi="ˎ̥" w:cs="Arial"/>
          <w:color w:val="333333"/>
          <w:kern w:val="0"/>
          <w:szCs w:val="21"/>
        </w:rPr>
        <w:t>财政部</w:t>
      </w:r>
      <w:r w:rsidRPr="00937AB9">
        <w:rPr>
          <w:rFonts w:ascii="ˎ̥" w:eastAsia="宋体" w:hAnsi="ˎ̥" w:cs="Arial"/>
          <w:color w:val="333333"/>
          <w:kern w:val="0"/>
          <w:szCs w:val="21"/>
        </w:rPr>
        <w:t xml:space="preserve"> </w:t>
      </w:r>
      <w:r w:rsidRPr="00937AB9">
        <w:rPr>
          <w:rFonts w:ascii="ˎ̥" w:eastAsia="宋体" w:hAnsi="ˎ̥" w:cs="Arial"/>
          <w:color w:val="333333"/>
          <w:kern w:val="0"/>
          <w:szCs w:val="21"/>
        </w:rPr>
        <w:t>中国人民银行</w:t>
      </w:r>
      <w:r w:rsidRPr="00937AB9">
        <w:rPr>
          <w:rFonts w:ascii="ˎ̥" w:eastAsia="宋体" w:hAnsi="ˎ̥" w:cs="Arial"/>
          <w:color w:val="333333"/>
          <w:kern w:val="0"/>
          <w:szCs w:val="21"/>
        </w:rPr>
        <w:t xml:space="preserve"> </w:t>
      </w:r>
      <w:r w:rsidRPr="00937AB9">
        <w:rPr>
          <w:rFonts w:ascii="ˎ̥" w:eastAsia="宋体" w:hAnsi="ˎ̥" w:cs="Arial"/>
          <w:color w:val="333333"/>
          <w:kern w:val="0"/>
          <w:szCs w:val="21"/>
        </w:rPr>
        <w:t>银监会</w:t>
      </w:r>
    </w:p>
    <w:p w:rsidR="00937AB9" w:rsidRPr="00937AB9" w:rsidRDefault="00937AB9" w:rsidP="00937AB9">
      <w:pPr>
        <w:widowControl/>
        <w:shd w:val="clear" w:color="auto" w:fill="F5FBFF"/>
        <w:spacing w:line="345" w:lineRule="atLeast"/>
        <w:jc w:val="right"/>
        <w:rPr>
          <w:rFonts w:ascii="ˎ̥" w:eastAsia="宋体" w:hAnsi="ˎ̥" w:cs="Arial"/>
          <w:color w:val="333333"/>
          <w:kern w:val="0"/>
          <w:szCs w:val="21"/>
        </w:rPr>
      </w:pPr>
      <w:r w:rsidRPr="00937AB9">
        <w:rPr>
          <w:rFonts w:ascii="ˎ̥" w:eastAsia="宋体" w:hAnsi="ˎ̥" w:cs="Arial"/>
          <w:color w:val="333333"/>
          <w:kern w:val="0"/>
          <w:szCs w:val="21"/>
        </w:rPr>
        <w:t xml:space="preserve">　　</w:t>
      </w:r>
      <w:r w:rsidRPr="00937AB9">
        <w:rPr>
          <w:rFonts w:ascii="ˎ̥" w:eastAsia="宋体" w:hAnsi="ˎ̥" w:cs="Arial"/>
          <w:color w:val="333333"/>
          <w:kern w:val="0"/>
          <w:szCs w:val="21"/>
        </w:rPr>
        <w:t>2015</w:t>
      </w:r>
      <w:r w:rsidRPr="00937AB9">
        <w:rPr>
          <w:rFonts w:ascii="ˎ̥" w:eastAsia="宋体" w:hAnsi="ˎ̥" w:cs="Arial"/>
          <w:color w:val="333333"/>
          <w:kern w:val="0"/>
          <w:szCs w:val="21"/>
        </w:rPr>
        <w:t>年</w:t>
      </w:r>
      <w:r w:rsidRPr="00937AB9">
        <w:rPr>
          <w:rFonts w:ascii="ˎ̥" w:eastAsia="宋体" w:hAnsi="ˎ̥" w:cs="Arial"/>
          <w:color w:val="333333"/>
          <w:kern w:val="0"/>
          <w:szCs w:val="21"/>
        </w:rPr>
        <w:t>7</w:t>
      </w:r>
      <w:r w:rsidRPr="00937AB9">
        <w:rPr>
          <w:rFonts w:ascii="ˎ̥" w:eastAsia="宋体" w:hAnsi="ˎ̥" w:cs="Arial"/>
          <w:color w:val="333333"/>
          <w:kern w:val="0"/>
          <w:szCs w:val="21"/>
        </w:rPr>
        <w:t>月</w:t>
      </w:r>
      <w:r w:rsidRPr="00937AB9">
        <w:rPr>
          <w:rFonts w:ascii="ˎ̥" w:eastAsia="宋体" w:hAnsi="ˎ̥" w:cs="Arial"/>
          <w:color w:val="333333"/>
          <w:kern w:val="0"/>
          <w:szCs w:val="21"/>
        </w:rPr>
        <w:t>13</w:t>
      </w:r>
      <w:r w:rsidRPr="00937AB9">
        <w:rPr>
          <w:rFonts w:ascii="ˎ̥" w:eastAsia="宋体" w:hAnsi="ˎ̥" w:cs="Arial"/>
          <w:color w:val="333333"/>
          <w:kern w:val="0"/>
          <w:szCs w:val="21"/>
        </w:rPr>
        <w:t>日</w:t>
      </w:r>
    </w:p>
    <w:p w:rsidR="00937AB9" w:rsidRPr="00937AB9" w:rsidRDefault="00937AB9" w:rsidP="00937AB9">
      <w:pPr>
        <w:widowControl/>
        <w:shd w:val="clear" w:color="auto" w:fill="F5FBFF"/>
        <w:spacing w:line="345" w:lineRule="atLeast"/>
        <w:jc w:val="left"/>
        <w:rPr>
          <w:rFonts w:ascii="ˎ̥" w:eastAsia="宋体" w:hAnsi="ˎ̥" w:cs="Arial"/>
          <w:color w:val="333333"/>
          <w:kern w:val="0"/>
          <w:szCs w:val="21"/>
        </w:rPr>
      </w:pPr>
      <w:r w:rsidRPr="00937AB9">
        <w:rPr>
          <w:rFonts w:ascii="ˎ̥" w:eastAsia="宋体" w:hAnsi="ˎ̥" w:cs="Arial"/>
          <w:color w:val="333333"/>
          <w:kern w:val="0"/>
          <w:szCs w:val="21"/>
        </w:rPr>
        <w:lastRenderedPageBreak/>
        <w:br/>
      </w:r>
    </w:p>
    <w:p w:rsidR="00937AB9" w:rsidRPr="00937AB9" w:rsidRDefault="00937AB9" w:rsidP="00937AB9">
      <w:pPr>
        <w:widowControl/>
        <w:shd w:val="clear" w:color="auto" w:fill="F5FBFF"/>
        <w:spacing w:line="345" w:lineRule="atLeast"/>
        <w:jc w:val="left"/>
        <w:rPr>
          <w:rFonts w:ascii="ˎ̥" w:eastAsia="宋体" w:hAnsi="ˎ̥" w:cs="Arial"/>
          <w:vanish/>
          <w:color w:val="333333"/>
          <w:kern w:val="0"/>
          <w:szCs w:val="21"/>
        </w:rPr>
      </w:pPr>
      <w:hyperlink r:id="rId5" w:history="1">
        <w:r w:rsidRPr="00937AB9">
          <w:rPr>
            <w:rFonts w:ascii="ˎ̥" w:eastAsia="宋体" w:hAnsi="ˎ̥" w:cs="Arial"/>
            <w:vanish/>
            <w:color w:val="42414A"/>
            <w:kern w:val="0"/>
            <w:szCs w:val="21"/>
          </w:rPr>
          <w:t xml:space="preserve">&lt; </w:t>
        </w:r>
        <w:r w:rsidRPr="00937AB9">
          <w:rPr>
            <w:rFonts w:ascii="ˎ̥" w:eastAsia="宋体" w:hAnsi="ˎ̥" w:cs="Arial"/>
            <w:vanish/>
            <w:color w:val="42414A"/>
            <w:kern w:val="0"/>
            <w:szCs w:val="21"/>
          </w:rPr>
          <w:t>上一页</w:t>
        </w:r>
      </w:hyperlink>
      <w:r w:rsidRPr="00937AB9">
        <w:rPr>
          <w:rFonts w:ascii="ˎ̥" w:eastAsia="宋体" w:hAnsi="ˎ̥" w:cs="Arial"/>
          <w:vanish/>
          <w:color w:val="333333"/>
          <w:kern w:val="0"/>
          <w:szCs w:val="21"/>
        </w:rPr>
        <w:t>1</w:t>
      </w:r>
      <w:hyperlink r:id="rId6" w:history="1">
        <w:r w:rsidRPr="00937AB9">
          <w:rPr>
            <w:rFonts w:ascii="ˎ̥" w:eastAsia="宋体" w:hAnsi="ˎ̥" w:cs="Arial"/>
            <w:vanish/>
            <w:color w:val="42414A"/>
            <w:kern w:val="0"/>
            <w:szCs w:val="21"/>
          </w:rPr>
          <w:t>下一页</w:t>
        </w:r>
        <w:r w:rsidRPr="00937AB9">
          <w:rPr>
            <w:rFonts w:ascii="ˎ̥" w:eastAsia="宋体" w:hAnsi="ˎ̥" w:cs="Arial"/>
            <w:vanish/>
            <w:color w:val="42414A"/>
            <w:kern w:val="0"/>
            <w:szCs w:val="21"/>
          </w:rPr>
          <w:t xml:space="preserve">&gt; </w:t>
        </w:r>
      </w:hyperlink>
    </w:p>
    <w:p w:rsidR="00CE4E8B" w:rsidRPr="00937AB9" w:rsidRDefault="00937AB9" w:rsidP="00937AB9">
      <w:r w:rsidRPr="00937AB9">
        <w:rPr>
          <w:rFonts w:ascii="ˎ̥" w:eastAsia="宋体" w:hAnsi="ˎ̥" w:cs="Arial"/>
          <w:vanish/>
          <w:color w:val="333333"/>
          <w:kern w:val="0"/>
          <w:szCs w:val="21"/>
        </w:rPr>
        <w:pict/>
      </w:r>
      <w:bookmarkStart w:id="0" w:name="_GoBack"/>
      <w:bookmarkEnd w:id="0"/>
    </w:p>
    <w:sectPr w:rsidR="00CE4E8B" w:rsidRPr="00937A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B9"/>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37AB9"/>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0099">
      <w:marLeft w:val="0"/>
      <w:marRight w:val="0"/>
      <w:marTop w:val="0"/>
      <w:marBottom w:val="0"/>
      <w:divBdr>
        <w:top w:val="none" w:sz="0" w:space="0" w:color="auto"/>
        <w:left w:val="none" w:sz="0" w:space="0" w:color="auto"/>
        <w:bottom w:val="none" w:sz="0" w:space="0" w:color="auto"/>
        <w:right w:val="none" w:sz="0" w:space="0" w:color="auto"/>
      </w:divBdr>
    </w:div>
    <w:div w:id="1848010744">
      <w:bodyDiv w:val="1"/>
      <w:marLeft w:val="0"/>
      <w:marRight w:val="0"/>
      <w:marTop w:val="0"/>
      <w:marBottom w:val="0"/>
      <w:divBdr>
        <w:top w:val="none" w:sz="0" w:space="0" w:color="auto"/>
        <w:left w:val="none" w:sz="0" w:space="0" w:color="auto"/>
        <w:bottom w:val="none" w:sz="0" w:space="0" w:color="auto"/>
        <w:right w:val="none" w:sz="0" w:space="0" w:color="auto"/>
      </w:divBdr>
      <w:divsChild>
        <w:div w:id="397099936">
          <w:marLeft w:val="0"/>
          <w:marRight w:val="0"/>
          <w:marTop w:val="0"/>
          <w:marBottom w:val="0"/>
          <w:divBdr>
            <w:top w:val="none" w:sz="0" w:space="0" w:color="auto"/>
            <w:left w:val="none" w:sz="0" w:space="0" w:color="auto"/>
            <w:bottom w:val="none" w:sz="0" w:space="0" w:color="auto"/>
            <w:right w:val="single" w:sz="6" w:space="0" w:color="FFFFFF"/>
          </w:divBdr>
          <w:divsChild>
            <w:div w:id="461002405">
              <w:marLeft w:val="0"/>
              <w:marRight w:val="0"/>
              <w:marTop w:val="0"/>
              <w:marBottom w:val="0"/>
              <w:divBdr>
                <w:top w:val="single" w:sz="6" w:space="0" w:color="A3C3D2"/>
                <w:left w:val="single" w:sz="6" w:space="0" w:color="A3C3D2"/>
                <w:bottom w:val="single" w:sz="6" w:space="0" w:color="A3C3D2"/>
                <w:right w:val="single" w:sz="6" w:space="0" w:color="A3C3D2"/>
              </w:divBdr>
              <w:divsChild>
                <w:div w:id="1845893749">
                  <w:marLeft w:val="0"/>
                  <w:marRight w:val="0"/>
                  <w:marTop w:val="0"/>
                  <w:marBottom w:val="0"/>
                  <w:divBdr>
                    <w:top w:val="none" w:sz="0" w:space="0" w:color="auto"/>
                    <w:left w:val="none" w:sz="0" w:space="0" w:color="auto"/>
                    <w:bottom w:val="none" w:sz="0" w:space="0" w:color="auto"/>
                    <w:right w:val="none" w:sz="0" w:space="0" w:color="auto"/>
                  </w:divBdr>
                  <w:divsChild>
                    <w:div w:id="1863931256">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gdc.edu.cn/xwyyjsjyxx/zxkb/hyxx/bgs/280589.shtml" TargetMode="External"/><Relationship Id="rId5" Type="http://schemas.openxmlformats.org/officeDocument/2006/relationships/hyperlink" Target="http://www.cdgdc.edu.cn/xwyyjsjyxx/zxkb/hyxx/bgs/280589.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2016-09-06T02:08:00Z</dcterms:created>
  <dcterms:modified xsi:type="dcterms:W3CDTF">2016-09-06T02:08:00Z</dcterms:modified>
</cp:coreProperties>
</file>